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2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253"/>
        <w:gridCol w:w="1225"/>
        <w:gridCol w:w="5045"/>
      </w:tblGrid>
      <w:tr w:rsidR="00F02867" w:rsidRPr="005368A7" w14:paraId="7D0C603C" w14:textId="77777777" w:rsidTr="004D289B">
        <w:trPr>
          <w:trHeight w:val="251"/>
          <w:jc w:val="center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7138" w14:textId="284E62C8" w:rsidR="00F02867" w:rsidRPr="00F02867" w:rsidRDefault="00F02867" w:rsidP="00F02867">
            <w:pPr>
              <w:pStyle w:val="TableParagraph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867">
              <w:rPr>
                <w:rFonts w:ascii="Arial Narrow" w:hAnsi="Arial Narrow"/>
                <w:b/>
                <w:bCs/>
                <w:sz w:val="20"/>
                <w:szCs w:val="20"/>
              </w:rPr>
              <w:t>DERS İZLENCESİ (SYLLABUS)</w:t>
            </w:r>
          </w:p>
        </w:tc>
      </w:tr>
      <w:tr w:rsidR="00F02867" w:rsidRPr="005368A7" w14:paraId="5DA493D1" w14:textId="77777777" w:rsidTr="00BC43A2">
        <w:trPr>
          <w:trHeight w:val="251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F609" w14:textId="07C70C26" w:rsidR="00F02867" w:rsidRPr="005368A7" w:rsidRDefault="00F02867" w:rsidP="004F044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368A7">
              <w:rPr>
                <w:rFonts w:ascii="Arial Narrow" w:hAnsi="Arial Narrow"/>
                <w:b/>
                <w:sz w:val="20"/>
                <w:szCs w:val="20"/>
              </w:rPr>
              <w:t>Bölümü</w:t>
            </w:r>
            <w:proofErr w:type="spellEnd"/>
            <w:r w:rsidRPr="00536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8F62" w14:textId="42452307" w:rsidR="00F02867" w:rsidRPr="005368A7" w:rsidRDefault="00B174C8" w:rsidP="00C052EB">
            <w:pPr>
              <w:pStyle w:val="TableParagraph"/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İKTİSAT</w:t>
            </w:r>
          </w:p>
        </w:tc>
      </w:tr>
      <w:tr w:rsidR="00F02867" w:rsidRPr="005368A7" w14:paraId="136C6DBE" w14:textId="77777777" w:rsidTr="00BC43A2">
        <w:trPr>
          <w:trHeight w:val="251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F160" w14:textId="7F1F5768" w:rsidR="00F02867" w:rsidRPr="005368A7" w:rsidRDefault="00F02867" w:rsidP="004F044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368A7">
              <w:rPr>
                <w:rFonts w:ascii="Arial Narrow" w:hAnsi="Arial Narrow"/>
                <w:b/>
                <w:sz w:val="20"/>
                <w:szCs w:val="20"/>
              </w:rPr>
              <w:t>Eğitim-Öğretim</w:t>
            </w:r>
            <w:proofErr w:type="spellEnd"/>
            <w:r w:rsidRPr="00536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5368A7">
              <w:rPr>
                <w:rFonts w:ascii="Arial Narrow" w:hAnsi="Arial Narrow"/>
                <w:b/>
                <w:sz w:val="20"/>
                <w:szCs w:val="20"/>
              </w:rPr>
              <w:t>Yılı</w:t>
            </w:r>
            <w:proofErr w:type="spellEnd"/>
            <w:r w:rsidRPr="005368A7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proofErr w:type="spellStart"/>
            <w:r w:rsidRPr="005368A7">
              <w:rPr>
                <w:rFonts w:ascii="Arial Narrow" w:hAnsi="Arial Narrow"/>
                <w:b/>
                <w:sz w:val="20"/>
                <w:szCs w:val="20"/>
              </w:rPr>
              <w:t>Yarıyılı</w:t>
            </w:r>
            <w:proofErr w:type="spellEnd"/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AE8AA" w14:textId="64A807B7" w:rsidR="00F02867" w:rsidRPr="005368A7" w:rsidRDefault="0063697C" w:rsidP="00E17044">
            <w:pPr>
              <w:pStyle w:val="TableParagraph"/>
              <w:ind w:left="57" w:right="57"/>
              <w:rPr>
                <w:rFonts w:ascii="Arial Narrow" w:hAnsi="Arial Narrow"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tr-TR"/>
              </w:rPr>
              <w:t>2023-2024</w:t>
            </w:r>
            <w:r w:rsidR="005538BA">
              <w:rPr>
                <w:rFonts w:ascii="Arial Narrow" w:hAnsi="Arial Narrow"/>
                <w:bCs/>
                <w:sz w:val="20"/>
                <w:szCs w:val="20"/>
                <w:lang w:val="tr-TR"/>
              </w:rPr>
              <w:t xml:space="preserve"> Eğitim Öğretim Yılı </w:t>
            </w:r>
            <w:r w:rsidR="00E17044">
              <w:rPr>
                <w:rFonts w:ascii="Arial Narrow" w:hAnsi="Arial Narrow"/>
                <w:bCs/>
                <w:sz w:val="20"/>
                <w:szCs w:val="20"/>
                <w:lang w:val="tr-TR"/>
              </w:rPr>
              <w:t>Güz</w:t>
            </w:r>
            <w:r w:rsidR="005538BA">
              <w:rPr>
                <w:rFonts w:ascii="Arial Narrow" w:hAnsi="Arial Narrow"/>
                <w:bCs/>
                <w:sz w:val="20"/>
                <w:szCs w:val="20"/>
                <w:lang w:val="tr-TR"/>
              </w:rPr>
              <w:t xml:space="preserve"> Yarıyılı</w:t>
            </w:r>
          </w:p>
        </w:tc>
      </w:tr>
      <w:tr w:rsidR="00F02867" w:rsidRPr="005368A7" w14:paraId="1987117F" w14:textId="77777777" w:rsidTr="00BC43A2">
        <w:trPr>
          <w:trHeight w:val="275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ADD67" w14:textId="29E524C9" w:rsidR="00F02867" w:rsidRPr="005368A7" w:rsidRDefault="00F02867" w:rsidP="004F044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Dersin</w:t>
            </w:r>
            <w:r w:rsidRPr="005368A7">
              <w:rPr>
                <w:rFonts w:ascii="Arial Narrow" w:hAnsi="Arial Narrow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Kodu ve Adı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C87EB" w14:textId="348795AC" w:rsidR="00F02867" w:rsidRPr="005368A7" w:rsidRDefault="00ED01FC" w:rsidP="00E17044">
            <w:pPr>
              <w:pStyle w:val="TableParagraph"/>
              <w:ind w:left="57" w:right="57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IKT </w:t>
            </w:r>
            <w:r w:rsidR="00D65F01">
              <w:rPr>
                <w:rFonts w:ascii="Arial Narrow" w:hAnsi="Arial Narrow"/>
                <w:sz w:val="20"/>
                <w:szCs w:val="20"/>
                <w:lang w:val="tr-TR"/>
              </w:rPr>
              <w:t>4025 Dış Ticaret İşlemleri</w:t>
            </w:r>
          </w:p>
        </w:tc>
      </w:tr>
      <w:tr w:rsidR="00F02867" w:rsidRPr="005368A7" w14:paraId="54BC2BCF" w14:textId="77777777" w:rsidTr="00BC43A2">
        <w:trPr>
          <w:trHeight w:val="251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707C8" w14:textId="77777777" w:rsidR="00F02867" w:rsidRPr="005368A7" w:rsidRDefault="00F02867" w:rsidP="004F044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Dersin</w:t>
            </w:r>
            <w:r w:rsidRPr="005368A7">
              <w:rPr>
                <w:rFonts w:ascii="Arial Narrow" w:hAnsi="Arial Narrow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AKTS'si</w:t>
            </w:r>
            <w:proofErr w:type="spellEnd"/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26AE9" w14:textId="6D1156D3" w:rsidR="00F02867" w:rsidRPr="005368A7" w:rsidRDefault="00E17044" w:rsidP="00C052EB">
            <w:pPr>
              <w:pStyle w:val="TableParagraph"/>
              <w:ind w:left="57" w:right="57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4</w:t>
            </w:r>
          </w:p>
        </w:tc>
      </w:tr>
      <w:tr w:rsidR="00F02867" w:rsidRPr="005368A7" w14:paraId="66FFF3D6" w14:textId="77777777" w:rsidTr="00BC43A2">
        <w:trPr>
          <w:trHeight w:val="220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982C2" w14:textId="77777777" w:rsidR="00F02867" w:rsidRPr="005368A7" w:rsidRDefault="00F02867" w:rsidP="004F044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Dersin</w:t>
            </w:r>
            <w:r w:rsidRPr="005368A7">
              <w:rPr>
                <w:rFonts w:ascii="Arial Narrow" w:hAnsi="Arial Narrow"/>
                <w:b/>
                <w:spacing w:val="-7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Yürütücüsü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A2F29" w14:textId="51DBA7A3" w:rsidR="00F02867" w:rsidRPr="005368A7" w:rsidRDefault="00ED01FC" w:rsidP="00C052EB">
            <w:pPr>
              <w:pStyle w:val="TableParagraph"/>
              <w:ind w:left="57" w:right="57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Prof. Dr. Mustafa Kemal DEĞER</w:t>
            </w:r>
          </w:p>
        </w:tc>
      </w:tr>
      <w:tr w:rsidR="00F02867" w:rsidRPr="005368A7" w14:paraId="310B735F" w14:textId="77777777" w:rsidTr="00BC43A2">
        <w:trPr>
          <w:trHeight w:val="251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A3E93" w14:textId="77777777" w:rsidR="00F02867" w:rsidRPr="005368A7" w:rsidRDefault="00F02867" w:rsidP="004F044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Dersin</w:t>
            </w:r>
            <w:r w:rsidRPr="005368A7">
              <w:rPr>
                <w:rFonts w:ascii="Arial Narrow" w:hAnsi="Arial Narrow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Gün</w:t>
            </w:r>
            <w:r w:rsidRPr="005368A7">
              <w:rPr>
                <w:rFonts w:ascii="Arial Narrow" w:hAnsi="Arial Narrow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ve</w:t>
            </w:r>
            <w:r w:rsidRPr="005368A7">
              <w:rPr>
                <w:rFonts w:ascii="Arial Narrow" w:hAnsi="Arial Narrow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Saati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F3B1C" w14:textId="6CEA3B1B" w:rsidR="00F02867" w:rsidRPr="005368A7" w:rsidRDefault="00D65F01" w:rsidP="00C052EB">
            <w:pPr>
              <w:pStyle w:val="TableParagraph"/>
              <w:ind w:left="57" w:right="57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Çarşamba</w:t>
            </w:r>
            <w:r w:rsidR="0063697C">
              <w:rPr>
                <w:rFonts w:ascii="Arial Narrow" w:hAnsi="Arial Narrow"/>
                <w:sz w:val="20"/>
                <w:szCs w:val="20"/>
                <w:lang w:val="tr-TR"/>
              </w:rPr>
              <w:t xml:space="preserve"> 14.00-17</w:t>
            </w:r>
            <w:r w:rsidR="00E17044">
              <w:rPr>
                <w:rFonts w:ascii="Arial Narrow" w:hAnsi="Arial Narrow"/>
                <w:sz w:val="20"/>
                <w:szCs w:val="20"/>
                <w:lang w:val="tr-TR"/>
              </w:rPr>
              <w:t>.00</w:t>
            </w:r>
          </w:p>
        </w:tc>
      </w:tr>
      <w:tr w:rsidR="00F02867" w:rsidRPr="005368A7" w14:paraId="7A9205F9" w14:textId="77777777" w:rsidTr="00BC43A2">
        <w:trPr>
          <w:trHeight w:val="178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5C0F5" w14:textId="77777777" w:rsidR="00F02867" w:rsidRPr="005368A7" w:rsidRDefault="00F02867" w:rsidP="004F0440">
            <w:pPr>
              <w:pStyle w:val="TableParagraph"/>
              <w:ind w:left="136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Öğrenci Görüşme Saatleri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82862" w14:textId="55C2C183" w:rsidR="00F515DB" w:rsidRPr="005368A7" w:rsidRDefault="0063697C" w:rsidP="0063697C">
            <w:pPr>
              <w:pStyle w:val="TableParagraph"/>
              <w:ind w:left="57" w:right="57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Pazartesi 11.00-12</w:t>
            </w:r>
            <w:r w:rsidR="00F515DB">
              <w:rPr>
                <w:rFonts w:ascii="Arial Narrow" w:hAnsi="Arial Narrow"/>
                <w:sz w:val="20"/>
                <w:szCs w:val="20"/>
                <w:lang w:val="tr-TR"/>
              </w:rPr>
              <w:t>.00</w:t>
            </w:r>
          </w:p>
        </w:tc>
      </w:tr>
      <w:tr w:rsidR="00F02867" w:rsidRPr="005368A7" w14:paraId="0C31CBA8" w14:textId="77777777" w:rsidTr="00BC43A2">
        <w:trPr>
          <w:trHeight w:val="252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2182" w14:textId="77777777" w:rsidR="00F02867" w:rsidRPr="005368A7" w:rsidRDefault="00F02867" w:rsidP="004F044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İletişim</w:t>
            </w:r>
            <w:r w:rsidRPr="005368A7">
              <w:rPr>
                <w:rFonts w:ascii="Arial Narrow" w:hAnsi="Arial Narrow"/>
                <w:b/>
                <w:spacing w:val="-5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Bilgileri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B8E1C" w14:textId="1946A008" w:rsidR="00172FD1" w:rsidRDefault="00DF397C" w:rsidP="00231BC6">
            <w:pPr>
              <w:ind w:left="57" w:right="57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İİBF </w:t>
            </w:r>
            <w:r w:rsidR="00172FD1">
              <w:rPr>
                <w:rFonts w:ascii="Arial Narrow" w:hAnsi="Arial Narrow"/>
                <w:sz w:val="20"/>
                <w:szCs w:val="20"/>
                <w:lang w:val="tr-TR"/>
              </w:rPr>
              <w:t>Ana Bina İktisat Bölümü 5. Kat No: 502</w:t>
            </w:r>
          </w:p>
          <w:p w14:paraId="399E6267" w14:textId="7E43F507" w:rsidR="00F02867" w:rsidRPr="005368A7" w:rsidRDefault="00172FD1" w:rsidP="00231BC6">
            <w:pPr>
              <w:ind w:left="57" w:right="5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2FD1">
              <w:rPr>
                <w:rFonts w:ascii="Arial Narrow" w:hAnsi="Arial Narrow"/>
                <w:sz w:val="20"/>
                <w:szCs w:val="20"/>
              </w:rPr>
              <w:t>mkdeger@ktu.edu.tr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 Tel: 0 462 377 3464</w:t>
            </w:r>
          </w:p>
        </w:tc>
      </w:tr>
      <w:tr w:rsidR="00F02867" w:rsidRPr="005368A7" w14:paraId="4A04515C" w14:textId="77777777" w:rsidTr="00BC43A2">
        <w:trPr>
          <w:trHeight w:val="206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EB562" w14:textId="74548A30" w:rsidR="00F02867" w:rsidRPr="005368A7" w:rsidRDefault="00F02867" w:rsidP="00B174C8">
            <w:pPr>
              <w:pStyle w:val="TableParagraph"/>
              <w:ind w:left="175" w:right="293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Öğretim Yöntemi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2417" w14:textId="30255E7D" w:rsidR="00F02867" w:rsidRPr="005368A7" w:rsidRDefault="00ED01FC" w:rsidP="00C052EB">
            <w:pPr>
              <w:pStyle w:val="TableParagraph"/>
              <w:ind w:left="57" w:right="57"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tr-TR"/>
              </w:rPr>
              <w:t>Yüzyüze</w:t>
            </w:r>
            <w:proofErr w:type="spellEnd"/>
            <w:r w:rsidR="00F515DB">
              <w:rPr>
                <w:rFonts w:ascii="Arial Narrow" w:hAnsi="Arial Narrow"/>
                <w:sz w:val="20"/>
                <w:szCs w:val="20"/>
                <w:lang w:val="tr-TR"/>
              </w:rPr>
              <w:t xml:space="preserve"> Eğitim</w:t>
            </w:r>
          </w:p>
        </w:tc>
      </w:tr>
      <w:tr w:rsidR="00F02867" w:rsidRPr="005368A7" w14:paraId="28D4DDD0" w14:textId="77777777" w:rsidTr="00BC43A2">
        <w:trPr>
          <w:trHeight w:val="745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519C" w14:textId="77777777" w:rsidR="00F02867" w:rsidRDefault="00F02867" w:rsidP="00C1713A">
            <w:pPr>
              <w:pStyle w:val="TableParagraph"/>
              <w:ind w:right="113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Dersin</w:t>
            </w:r>
            <w:r w:rsidRPr="005368A7">
              <w:rPr>
                <w:rFonts w:ascii="Arial Narrow" w:hAnsi="Arial Narrow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Amacı</w:t>
            </w:r>
          </w:p>
          <w:p w14:paraId="734F3364" w14:textId="1232C188" w:rsidR="00231BC6" w:rsidRPr="005368A7" w:rsidRDefault="00231BC6" w:rsidP="00C1713A">
            <w:pPr>
              <w:pStyle w:val="TableParagraph"/>
              <w:ind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7824" w14:textId="61B07655" w:rsidR="00F02867" w:rsidRPr="005368A7" w:rsidRDefault="00E17044" w:rsidP="00D65F01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E17044">
              <w:rPr>
                <w:rFonts w:ascii="Arial Narrow" w:hAnsi="Arial Narrow"/>
                <w:noProof/>
                <w:sz w:val="20"/>
                <w:szCs w:val="20"/>
              </w:rPr>
              <w:t>Dersin temel amacı</w:t>
            </w:r>
            <w:r w:rsidR="00336CE6">
              <w:rPr>
                <w:rFonts w:ascii="Arial Narrow" w:hAnsi="Arial Narrow"/>
                <w:noProof/>
                <w:sz w:val="20"/>
                <w:szCs w:val="20"/>
              </w:rPr>
              <w:t>,</w:t>
            </w:r>
            <w:r w:rsidRPr="00E17044">
              <w:rPr>
                <w:rFonts w:ascii="Arial Narrow" w:hAnsi="Arial Narrow"/>
                <w:noProof/>
                <w:sz w:val="20"/>
                <w:szCs w:val="20"/>
              </w:rPr>
              <w:t xml:space="preserve"> öğrencilerin </w:t>
            </w:r>
            <w:r w:rsidR="00D65F01">
              <w:rPr>
                <w:rFonts w:ascii="Arial Narrow" w:hAnsi="Arial Narrow"/>
                <w:noProof/>
                <w:sz w:val="20"/>
                <w:szCs w:val="20"/>
              </w:rPr>
              <w:t>dış ticaret işlemleri ve süreçleri</w:t>
            </w:r>
            <w:r w:rsidRPr="00E17044">
              <w:rPr>
                <w:rFonts w:ascii="Arial Narrow" w:hAnsi="Arial Narrow"/>
                <w:noProof/>
                <w:sz w:val="20"/>
                <w:szCs w:val="20"/>
              </w:rPr>
              <w:t xml:space="preserve"> hakkında bilgi edinmelerini sağlamaktır.</w:t>
            </w:r>
          </w:p>
        </w:tc>
      </w:tr>
      <w:tr w:rsidR="00F02867" w:rsidRPr="005368A7" w14:paraId="1573EF76" w14:textId="77777777" w:rsidTr="00BC43A2">
        <w:trPr>
          <w:trHeight w:val="977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4071" w14:textId="77777777" w:rsidR="00F02867" w:rsidRDefault="00F02867" w:rsidP="00C1713A">
            <w:pPr>
              <w:pStyle w:val="TableParagraph"/>
              <w:ind w:right="113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Dersin</w:t>
            </w:r>
            <w:r w:rsidRPr="005368A7">
              <w:rPr>
                <w:rFonts w:ascii="Arial Narrow" w:hAnsi="Arial Narrow"/>
                <w:b/>
                <w:spacing w:val="-5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Öğrenme</w:t>
            </w:r>
            <w:r w:rsidRPr="005368A7">
              <w:rPr>
                <w:rFonts w:ascii="Arial Narrow" w:hAnsi="Arial Narrow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Çıktıları (DÖK)</w:t>
            </w:r>
          </w:p>
          <w:p w14:paraId="3B52FA80" w14:textId="41BB2A4B" w:rsidR="00231BC6" w:rsidRPr="005538BA" w:rsidRDefault="00231BC6" w:rsidP="00F515DB">
            <w:pPr>
              <w:pStyle w:val="TableParagraph"/>
              <w:ind w:left="0" w:right="11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0C15" w14:textId="22406D61" w:rsidR="004D289B" w:rsidRDefault="004D289B" w:rsidP="00ED01FC">
            <w:pPr>
              <w:ind w:left="57" w:right="57"/>
              <w:jc w:val="both"/>
              <w:rPr>
                <w:rFonts w:ascii="Arial Narrow" w:hAnsi="Arial Narrow"/>
                <w:noProof/>
                <w:color w:val="212529"/>
                <w:sz w:val="20"/>
                <w:szCs w:val="20"/>
                <w:lang w:val="tr-TR" w:eastAsia="tr-TR"/>
              </w:rPr>
            </w:pPr>
            <w:r w:rsidRPr="00C052EB">
              <w:rPr>
                <w:rFonts w:ascii="Arial Narrow" w:hAnsi="Arial Narrow"/>
                <w:b/>
                <w:bCs/>
                <w:noProof/>
                <w:color w:val="212529"/>
                <w:sz w:val="20"/>
                <w:szCs w:val="20"/>
                <w:lang w:eastAsia="tr-TR"/>
              </w:rPr>
              <w:t>Bu dersi başarı ile tamamlayan öğrenciler:</w:t>
            </w:r>
          </w:p>
          <w:p w14:paraId="784228B8" w14:textId="60A16A71" w:rsidR="00E17044" w:rsidRDefault="00F515DB" w:rsidP="00F515DB">
            <w:pPr>
              <w:ind w:right="57"/>
              <w:jc w:val="both"/>
              <w:rPr>
                <w:rFonts w:ascii="Arial Narrow" w:hAnsi="Arial Narrow"/>
                <w:bCs/>
                <w:color w:val="212529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212529"/>
                <w:sz w:val="20"/>
                <w:szCs w:val="20"/>
              </w:rPr>
              <w:t>DÖK-</w:t>
            </w:r>
            <w:r w:rsidRPr="00F515DB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1.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Dış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ticarette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ihracat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ve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ithalat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işlemleri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hakkında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bilgi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sahibi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olacak</w:t>
            </w:r>
            <w:proofErr w:type="spellEnd"/>
          </w:p>
          <w:p w14:paraId="5F39E8F2" w14:textId="2B5095C2" w:rsidR="00ED01FC" w:rsidRPr="00F515DB" w:rsidRDefault="00F515DB" w:rsidP="00F515DB">
            <w:pPr>
              <w:ind w:right="57"/>
              <w:jc w:val="both"/>
              <w:rPr>
                <w:rFonts w:ascii="Arial Narrow" w:hAnsi="Arial Narrow"/>
                <w:bCs/>
                <w:color w:val="212529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DÖK-2.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Dış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ticarette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kullanılan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belgeleri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tanıyacaklar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.</w:t>
            </w:r>
          </w:p>
          <w:p w14:paraId="1F1BFBAA" w14:textId="45567E06" w:rsidR="00E17044" w:rsidRDefault="00F515DB" w:rsidP="00F515DB">
            <w:pPr>
              <w:ind w:right="57"/>
              <w:jc w:val="both"/>
              <w:rPr>
                <w:rFonts w:ascii="Arial Narrow" w:hAnsi="Arial Narrow"/>
                <w:bCs/>
                <w:color w:val="212529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212529"/>
                <w:sz w:val="20"/>
                <w:szCs w:val="20"/>
              </w:rPr>
              <w:t>DÖK-3</w:t>
            </w:r>
            <w:r w:rsidR="00265D1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.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Dış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ticarette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teslim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ve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ödeme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şekilerini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öğrenecekler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.</w:t>
            </w:r>
          </w:p>
          <w:p w14:paraId="7960E667" w14:textId="1FAB53EA" w:rsidR="00ED01FC" w:rsidRPr="00F515DB" w:rsidRDefault="00F515DB" w:rsidP="00D65F01">
            <w:pPr>
              <w:ind w:right="57"/>
              <w:jc w:val="both"/>
              <w:rPr>
                <w:rFonts w:ascii="Arial Narrow" w:hAnsi="Arial Narrow"/>
                <w:bCs/>
                <w:color w:val="212529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DÖK-4.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Gümrüklerde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yapılan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işlemler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hakkında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bilgi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sahibi</w:t>
            </w:r>
            <w:proofErr w:type="spellEnd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D65F01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olacak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.</w:t>
            </w:r>
          </w:p>
        </w:tc>
      </w:tr>
      <w:tr w:rsidR="00F02867" w:rsidRPr="005368A7" w14:paraId="22E52740" w14:textId="77777777" w:rsidTr="00BC43A2">
        <w:trPr>
          <w:trHeight w:val="977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4B0A" w14:textId="77777777" w:rsidR="00F02867" w:rsidRDefault="00F02867" w:rsidP="00C1713A">
            <w:pPr>
              <w:pStyle w:val="TableParagraph"/>
              <w:ind w:right="113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368A7">
              <w:rPr>
                <w:rFonts w:ascii="Arial Narrow" w:hAnsi="Arial Narrow"/>
                <w:b/>
                <w:noProof/>
                <w:sz w:val="20"/>
                <w:szCs w:val="20"/>
              </w:rPr>
              <w:t>Dersin Katkı Sağladığı Program Öğrenim Kazanımları (PÖK)</w:t>
            </w:r>
          </w:p>
          <w:p w14:paraId="03DADAE2" w14:textId="6F460054" w:rsidR="00231BC6" w:rsidRPr="005538BA" w:rsidRDefault="00231BC6" w:rsidP="005538BA">
            <w:pPr>
              <w:pStyle w:val="TableParagraph"/>
              <w:ind w:right="113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7F53" w14:textId="58F80ACD" w:rsidR="00F02867" w:rsidRDefault="00F02867" w:rsidP="00ED01FC">
            <w:pPr>
              <w:ind w:left="57" w:right="57"/>
              <w:jc w:val="both"/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</w:pPr>
            <w:r w:rsidRPr="00AF2D9B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Bu bölümü başarı </w:t>
            </w:r>
            <w:r w:rsidR="00231BC6">
              <w:rPr>
                <w:rFonts w:ascii="Arial Narrow" w:hAnsi="Arial Narrow"/>
                <w:b/>
                <w:noProof/>
                <w:sz w:val="20"/>
                <w:szCs w:val="20"/>
              </w:rPr>
              <w:t>ile tamamlayan öğrenciler:</w:t>
            </w:r>
          </w:p>
          <w:p w14:paraId="7E0BB9D5" w14:textId="11128E4D" w:rsidR="00ED01FC" w:rsidRPr="00ED01FC" w:rsidRDefault="00F515DB" w:rsidP="00ED01FC">
            <w:pPr>
              <w:ind w:left="57" w:right="57"/>
              <w:jc w:val="both"/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  <w:t>PÖK-</w:t>
            </w:r>
            <w:r w:rsidR="00ED01FC"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  <w:t xml:space="preserve">6. </w:t>
            </w:r>
            <w:r w:rsidR="00ED01FC" w:rsidRPr="00ED01FC"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  <w:t>İktisadi, çevresel ve sosyal adalet gibi alanlara ilişkin çağın güncel sorunları hakkında bilgi sahibi olabilirler.</w:t>
            </w:r>
            <w:r w:rsidR="00D65F01"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  <w:t>(%100</w:t>
            </w:r>
            <w:r w:rsidR="00ED01FC"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  <w:t>)</w:t>
            </w:r>
          </w:p>
        </w:tc>
      </w:tr>
      <w:tr w:rsidR="00F02867" w:rsidRPr="005368A7" w14:paraId="4A44F0B8" w14:textId="77777777" w:rsidTr="00BC43A2">
        <w:trPr>
          <w:trHeight w:val="977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CEF0A" w14:textId="3588C913" w:rsidR="00F02867" w:rsidRPr="005368A7" w:rsidRDefault="00F02867" w:rsidP="00C1713A">
            <w:pPr>
              <w:pStyle w:val="TableParagraph"/>
              <w:ind w:right="113"/>
              <w:rPr>
                <w:rFonts w:ascii="Arial Narrow" w:hAnsi="Arial Narrow"/>
                <w:b/>
                <w:sz w:val="20"/>
                <w:szCs w:val="20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Ölçme-</w:t>
            </w:r>
            <w:r w:rsidR="00B174C8"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değerlendirme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15E3" w14:textId="77777777" w:rsidR="00BC43A2" w:rsidRPr="00BC43A2" w:rsidRDefault="00B443EF" w:rsidP="00D85F42">
            <w:pPr>
              <w:pStyle w:val="ListeParagraf"/>
              <w:numPr>
                <w:ilvl w:val="0"/>
                <w:numId w:val="11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BC43A2">
              <w:rPr>
                <w:rFonts w:ascii="Arial Narrow" w:hAnsi="Arial Narrow"/>
                <w:noProof/>
                <w:sz w:val="20"/>
                <w:szCs w:val="20"/>
              </w:rPr>
              <w:t xml:space="preserve">Dersin ölçme ve değerlendirme süreçleri, KTÜ Önlisans ve Lisans Eğitim ve Öğretim Sınav Değerlendirme ve Öğrenci İşleri Yönetmeliğine uygun olarak bir </w:t>
            </w:r>
            <w:r w:rsidR="00ED01FC" w:rsidRPr="00BC43A2">
              <w:rPr>
                <w:rFonts w:ascii="Arial Narrow" w:hAnsi="Arial Narrow"/>
                <w:noProof/>
                <w:sz w:val="20"/>
                <w:szCs w:val="20"/>
              </w:rPr>
              <w:t>Arasınav (%50)</w:t>
            </w:r>
            <w:r w:rsidRPr="00BC43A2">
              <w:rPr>
                <w:rFonts w:ascii="Arial Narrow" w:hAnsi="Arial Narrow"/>
                <w:noProof/>
                <w:sz w:val="20"/>
                <w:szCs w:val="20"/>
              </w:rPr>
              <w:t xml:space="preserve"> ve bir </w:t>
            </w:r>
            <w:r w:rsidR="00BC43A2" w:rsidRPr="00BC43A2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="00ED01FC" w:rsidRPr="00BC43A2">
              <w:rPr>
                <w:rFonts w:ascii="Arial Narrow" w:hAnsi="Arial Narrow"/>
                <w:noProof/>
                <w:sz w:val="20"/>
                <w:szCs w:val="20"/>
              </w:rPr>
              <w:t>Final (%50)</w:t>
            </w:r>
            <w:r w:rsidRPr="00BC43A2">
              <w:rPr>
                <w:rFonts w:ascii="Arial Narrow" w:hAnsi="Arial Narrow"/>
                <w:noProof/>
                <w:sz w:val="20"/>
                <w:szCs w:val="20"/>
              </w:rPr>
              <w:t xml:space="preserve"> sınavı ile gerçekleştirlmektedir.</w:t>
            </w:r>
          </w:p>
          <w:p w14:paraId="416B3E61" w14:textId="21568306" w:rsidR="00ED01FC" w:rsidRPr="00BC43A2" w:rsidRDefault="00E17044" w:rsidP="00E17044">
            <w:pPr>
              <w:pStyle w:val="ListeParagraf"/>
              <w:numPr>
                <w:ilvl w:val="0"/>
                <w:numId w:val="11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Arasınav ve final, 25</w:t>
            </w:r>
            <w:r w:rsidR="00B443EF" w:rsidRPr="00BC43A2">
              <w:rPr>
                <w:rFonts w:ascii="Arial Narrow" w:hAnsi="Arial Narrow"/>
                <w:noProof/>
                <w:sz w:val="20"/>
                <w:szCs w:val="20"/>
              </w:rPr>
              <w:t xml:space="preserve"> adet </w:t>
            </w:r>
            <w:r w:rsidR="00E205A2">
              <w:rPr>
                <w:rFonts w:ascii="Arial Narrow" w:hAnsi="Arial Narrow"/>
                <w:noProof/>
                <w:sz w:val="20"/>
                <w:szCs w:val="20"/>
              </w:rPr>
              <w:t xml:space="preserve">çoktan seçmeli sorudan oluşan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30</w:t>
            </w:r>
            <w:r w:rsidR="00B443EF" w:rsidRPr="00BC43A2">
              <w:rPr>
                <w:rFonts w:ascii="Arial Narrow" w:hAnsi="Arial Narrow"/>
                <w:noProof/>
                <w:sz w:val="20"/>
                <w:szCs w:val="20"/>
              </w:rPr>
              <w:t xml:space="preserve"> dakikalık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sınavlarla gerçekleştirlmektedir.</w:t>
            </w:r>
            <w:r w:rsidR="00B443EF" w:rsidRPr="00BC43A2">
              <w:rPr>
                <w:rFonts w:ascii="Arial Narrow" w:hAnsi="Arial Narrow"/>
                <w:noProof/>
                <w:sz w:val="20"/>
                <w:szCs w:val="20"/>
              </w:rPr>
              <w:t xml:space="preserve">  </w:t>
            </w:r>
          </w:p>
        </w:tc>
      </w:tr>
      <w:tr w:rsidR="00F02867" w:rsidRPr="005368A7" w14:paraId="51626D17" w14:textId="77777777" w:rsidTr="00BC43A2">
        <w:trPr>
          <w:trHeight w:val="977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823C" w14:textId="77777777" w:rsidR="00F02867" w:rsidRDefault="00F02867" w:rsidP="000666CD">
            <w:pPr>
              <w:pStyle w:val="TableParagraph"/>
              <w:ind w:right="113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F3CA5">
              <w:rPr>
                <w:rFonts w:ascii="Arial Narrow" w:hAnsi="Arial Narrow"/>
                <w:b/>
                <w:noProof/>
                <w:sz w:val="20"/>
                <w:szCs w:val="20"/>
              </w:rPr>
              <w:t>Çalışma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/Öğrenme </w:t>
            </w:r>
          </w:p>
          <w:p w14:paraId="791008E3" w14:textId="4EA423FE" w:rsidR="001171BA" w:rsidRPr="005368A7" w:rsidRDefault="001171BA" w:rsidP="00BC43A2">
            <w:pPr>
              <w:pStyle w:val="TableParagraph"/>
              <w:ind w:left="0" w:right="113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07474" w14:textId="0FE9CF2E" w:rsidR="00BC43A2" w:rsidRPr="00D85F42" w:rsidRDefault="00B443EF" w:rsidP="00D85F42">
            <w:pPr>
              <w:pStyle w:val="ListeParagraf"/>
              <w:numPr>
                <w:ilvl w:val="0"/>
                <w:numId w:val="12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D85F42">
              <w:rPr>
                <w:rFonts w:ascii="Arial Narrow" w:hAnsi="Arial Narrow"/>
                <w:noProof/>
                <w:sz w:val="20"/>
                <w:szCs w:val="20"/>
              </w:rPr>
              <w:t>Ders kapsamındaki konuların anlaşılması için öğrenc</w:t>
            </w:r>
            <w:r w:rsidR="00336CE6">
              <w:rPr>
                <w:rFonts w:ascii="Arial Narrow" w:hAnsi="Arial Narrow"/>
                <w:noProof/>
                <w:sz w:val="20"/>
                <w:szCs w:val="20"/>
              </w:rPr>
              <w:t>ilerin yeterli düzeyde uluslararası iktisat</w:t>
            </w:r>
            <w:r w:rsidRPr="00D85F42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="00172FD1">
              <w:rPr>
                <w:rFonts w:ascii="Arial Narrow" w:hAnsi="Arial Narrow"/>
                <w:noProof/>
                <w:sz w:val="20"/>
                <w:szCs w:val="20"/>
              </w:rPr>
              <w:t>bilgisine</w:t>
            </w:r>
            <w:r w:rsidRPr="00D85F42">
              <w:rPr>
                <w:rFonts w:ascii="Arial Narrow" w:hAnsi="Arial Narrow"/>
                <w:noProof/>
                <w:sz w:val="20"/>
                <w:szCs w:val="20"/>
              </w:rPr>
              <w:t xml:space="preserve"> hakim olması gerekmektedir. </w:t>
            </w:r>
          </w:p>
          <w:p w14:paraId="698C725C" w14:textId="77777777" w:rsidR="00D85F42" w:rsidRPr="00D85F42" w:rsidRDefault="00B443EF" w:rsidP="00D85F42">
            <w:pPr>
              <w:pStyle w:val="ListeParagraf"/>
              <w:numPr>
                <w:ilvl w:val="0"/>
                <w:numId w:val="12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D85F42">
              <w:rPr>
                <w:rFonts w:ascii="Arial Narrow" w:hAnsi="Arial Narrow"/>
                <w:noProof/>
                <w:sz w:val="20"/>
                <w:szCs w:val="20"/>
              </w:rPr>
              <w:t xml:space="preserve">Ders konuları zorunlu haller dışında (pandemi ve deprem vb.) yüzyüze eğitim ile gerçekleştirileceği için öğrencilerin derslere katılımı önem arz etmektedir. </w:t>
            </w:r>
          </w:p>
          <w:p w14:paraId="0AE8F584" w14:textId="77777777" w:rsidR="00D85F42" w:rsidRPr="00D85F42" w:rsidRDefault="00B443EF" w:rsidP="00D85F42">
            <w:pPr>
              <w:pStyle w:val="ListeParagraf"/>
              <w:numPr>
                <w:ilvl w:val="0"/>
                <w:numId w:val="12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D85F42">
              <w:rPr>
                <w:rFonts w:ascii="Arial Narrow" w:hAnsi="Arial Narrow"/>
                <w:noProof/>
                <w:sz w:val="20"/>
                <w:szCs w:val="20"/>
              </w:rPr>
              <w:t xml:space="preserve">Derslere gelmeden önce ilgili ders yürütücüsünün AVESİS’de paylaştığı sunumlar ve ilgili ders kaynakları </w:t>
            </w:r>
            <w:r w:rsidR="00BC43A2" w:rsidRPr="00D85F42">
              <w:rPr>
                <w:rFonts w:ascii="Arial Narrow" w:hAnsi="Arial Narrow"/>
                <w:noProof/>
                <w:sz w:val="20"/>
                <w:szCs w:val="20"/>
              </w:rPr>
              <w:t xml:space="preserve">mutlaka bir ön okumadan geçirilmelidir. </w:t>
            </w:r>
          </w:p>
          <w:p w14:paraId="2F4A9008" w14:textId="765B90FD" w:rsidR="00D85F42" w:rsidRPr="00D85F42" w:rsidRDefault="00BC43A2" w:rsidP="00D85F42">
            <w:pPr>
              <w:pStyle w:val="ListeParagraf"/>
              <w:numPr>
                <w:ilvl w:val="0"/>
                <w:numId w:val="12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D85F42">
              <w:rPr>
                <w:rFonts w:ascii="Arial Narrow" w:hAnsi="Arial Narrow"/>
                <w:noProof/>
                <w:sz w:val="20"/>
                <w:szCs w:val="20"/>
              </w:rPr>
              <w:t xml:space="preserve">Ders işlenirken öğrencilerin konu ile ilgili yaşadıkları sorunları mutlaka ilgili ders yürütücüsü ile </w:t>
            </w:r>
            <w:r w:rsidR="00D85F42" w:rsidRPr="00D85F42">
              <w:rPr>
                <w:rFonts w:ascii="Arial Narrow" w:hAnsi="Arial Narrow"/>
                <w:noProof/>
                <w:sz w:val="20"/>
                <w:szCs w:val="20"/>
              </w:rPr>
              <w:t xml:space="preserve">anlık </w:t>
            </w:r>
            <w:r w:rsidR="00D85F42">
              <w:rPr>
                <w:rFonts w:ascii="Arial Narrow" w:hAnsi="Arial Narrow"/>
                <w:noProof/>
                <w:sz w:val="20"/>
                <w:szCs w:val="20"/>
              </w:rPr>
              <w:t xml:space="preserve">olarak </w:t>
            </w:r>
            <w:r w:rsidRPr="00D85F42">
              <w:rPr>
                <w:rFonts w:ascii="Arial Narrow" w:hAnsi="Arial Narrow"/>
                <w:noProof/>
                <w:sz w:val="20"/>
                <w:szCs w:val="20"/>
              </w:rPr>
              <w:t xml:space="preserve">paylaşmaları </w:t>
            </w:r>
            <w:r w:rsidR="00D85F42">
              <w:rPr>
                <w:rFonts w:ascii="Arial Narrow" w:hAnsi="Arial Narrow"/>
                <w:noProof/>
                <w:sz w:val="20"/>
                <w:szCs w:val="20"/>
              </w:rPr>
              <w:t>önem</w:t>
            </w:r>
            <w:r w:rsidRPr="00D85F42">
              <w:rPr>
                <w:rFonts w:ascii="Arial Narrow" w:hAnsi="Arial Narrow"/>
                <w:noProof/>
                <w:sz w:val="20"/>
                <w:szCs w:val="20"/>
              </w:rPr>
              <w:t>lidir.</w:t>
            </w:r>
            <w:r w:rsidR="00172FD1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D85F42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</w:p>
          <w:p w14:paraId="01DC63BC" w14:textId="002F4D29" w:rsidR="00F02867" w:rsidRDefault="00BC43A2" w:rsidP="00D85F42">
            <w:pPr>
              <w:pStyle w:val="ListeParagraf"/>
              <w:numPr>
                <w:ilvl w:val="0"/>
                <w:numId w:val="12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D85F42">
              <w:rPr>
                <w:rFonts w:ascii="Arial Narrow" w:hAnsi="Arial Narrow"/>
                <w:noProof/>
                <w:sz w:val="20"/>
                <w:szCs w:val="20"/>
              </w:rPr>
              <w:t xml:space="preserve">Ders dışı zamanlarda ders konularına yönelik dergi ve gazete makaleleri ile </w:t>
            </w:r>
            <w:r w:rsidR="00336CE6">
              <w:rPr>
                <w:rFonts w:ascii="Arial Narrow" w:hAnsi="Arial Narrow"/>
                <w:noProof/>
                <w:sz w:val="20"/>
                <w:szCs w:val="20"/>
              </w:rPr>
              <w:t xml:space="preserve">Dünya Bankası, </w:t>
            </w:r>
            <w:r w:rsidR="00D65F01">
              <w:rPr>
                <w:rFonts w:ascii="Arial Narrow" w:hAnsi="Arial Narrow"/>
                <w:noProof/>
                <w:sz w:val="20"/>
                <w:szCs w:val="20"/>
              </w:rPr>
              <w:t>UNCOMTRADE</w:t>
            </w:r>
            <w:r w:rsidR="00336CE6">
              <w:rPr>
                <w:rFonts w:ascii="Arial Narrow" w:hAnsi="Arial Narrow"/>
                <w:noProof/>
                <w:sz w:val="20"/>
                <w:szCs w:val="20"/>
              </w:rPr>
              <w:t xml:space="preserve">, </w:t>
            </w:r>
            <w:r w:rsidRPr="00D85F42">
              <w:rPr>
                <w:rFonts w:ascii="Arial Narrow" w:hAnsi="Arial Narrow"/>
                <w:noProof/>
                <w:sz w:val="20"/>
                <w:szCs w:val="20"/>
              </w:rPr>
              <w:t>TÜİK ve TCMB gibi kurumların veri tabanları incelenerek güncel veriler takip edilmelidir.</w:t>
            </w:r>
            <w:r w:rsidR="00B443EF" w:rsidRPr="00D85F42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</w:p>
          <w:p w14:paraId="7731ED1D" w14:textId="38F41E53" w:rsidR="00172FD1" w:rsidRPr="00D85F42" w:rsidRDefault="00172FD1" w:rsidP="00172FD1">
            <w:pPr>
              <w:pStyle w:val="ListeParagraf"/>
              <w:numPr>
                <w:ilvl w:val="0"/>
                <w:numId w:val="12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Öğrenciler ders dışı zamanlarda ders yürütücüsüne dersle ilgili konularda öğrenci görüşme saatlerinde görüşebilecekleri gibi ilgili ders yürütücüsüne mail de atabilirler. </w:t>
            </w:r>
          </w:p>
        </w:tc>
      </w:tr>
      <w:tr w:rsidR="00F02867" w:rsidRPr="005368A7" w14:paraId="725DB730" w14:textId="77777777" w:rsidTr="00BC43A2">
        <w:trPr>
          <w:trHeight w:val="977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704E" w14:textId="77777777" w:rsidR="00F02867" w:rsidRDefault="00F02867" w:rsidP="007D5881">
            <w:pPr>
              <w:pStyle w:val="TableParagraph"/>
              <w:ind w:right="113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368A7">
              <w:rPr>
                <w:rFonts w:ascii="Arial Narrow" w:hAnsi="Arial Narrow"/>
                <w:b/>
                <w:noProof/>
                <w:sz w:val="20"/>
                <w:szCs w:val="20"/>
              </w:rPr>
              <w:t>Öğrenci Davranışları</w:t>
            </w:r>
          </w:p>
          <w:p w14:paraId="2E121E51" w14:textId="77777777" w:rsidR="00F02867" w:rsidRDefault="00F02867" w:rsidP="007D5881">
            <w:pPr>
              <w:pStyle w:val="TableParagraph"/>
              <w:ind w:right="113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(Ders ve Sınav İlkeleri)</w:t>
            </w:r>
          </w:p>
          <w:p w14:paraId="0703F876" w14:textId="0FE2DB48" w:rsidR="007D0E8F" w:rsidRPr="005368A7" w:rsidRDefault="007D0E8F" w:rsidP="00172FD1">
            <w:pPr>
              <w:pStyle w:val="TableParagraph"/>
              <w:ind w:left="0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5B257" w14:textId="5C7F539A" w:rsidR="00D85F42" w:rsidRDefault="00BC43A2" w:rsidP="00D85F42">
            <w:pPr>
              <w:pStyle w:val="TableParagraph"/>
              <w:numPr>
                <w:ilvl w:val="0"/>
                <w:numId w:val="13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Ders konularının anlaşılması için öğrencilerin </w:t>
            </w:r>
            <w:r w:rsidR="00D85F42">
              <w:rPr>
                <w:rFonts w:ascii="Arial Narrow" w:hAnsi="Arial Narrow"/>
                <w:noProof/>
                <w:sz w:val="20"/>
                <w:szCs w:val="20"/>
              </w:rPr>
              <w:t>zam</w:t>
            </w:r>
            <w:r w:rsidR="00172FD1">
              <w:rPr>
                <w:rFonts w:ascii="Arial Narrow" w:hAnsi="Arial Narrow"/>
                <w:noProof/>
                <w:sz w:val="20"/>
                <w:szCs w:val="20"/>
              </w:rPr>
              <w:t>a</w:t>
            </w:r>
            <w:r w:rsidR="00D85F42">
              <w:rPr>
                <w:rFonts w:ascii="Arial Narrow" w:hAnsi="Arial Narrow"/>
                <w:noProof/>
                <w:sz w:val="20"/>
                <w:szCs w:val="20"/>
              </w:rPr>
              <w:t xml:space="preserve">nında sınıfta yerini alması ve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dikkatlice ders yürütücüsünü dinlemeleri gerekmektedir</w:t>
            </w:r>
            <w:r w:rsidR="00D85F42">
              <w:rPr>
                <w:rFonts w:ascii="Arial Narrow" w:hAnsi="Arial Narrow"/>
                <w:noProof/>
                <w:sz w:val="20"/>
                <w:szCs w:val="20"/>
              </w:rPr>
              <w:t>.</w:t>
            </w:r>
          </w:p>
          <w:p w14:paraId="71659D93" w14:textId="6166B59B" w:rsidR="00D85F42" w:rsidRDefault="00D85F42" w:rsidP="00D85F42">
            <w:pPr>
              <w:pStyle w:val="TableParagraph"/>
              <w:numPr>
                <w:ilvl w:val="0"/>
                <w:numId w:val="13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Ders</w:t>
            </w:r>
            <w:r w:rsidR="00D65F01">
              <w:rPr>
                <w:rFonts w:ascii="Arial Narrow" w:hAnsi="Arial Narrow"/>
                <w:noProof/>
                <w:sz w:val="20"/>
                <w:szCs w:val="20"/>
              </w:rPr>
              <w:t>e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geç kalan veya dersten ayrılmak isteyen öğrenciler, sınıf huzurunu bozmandan ders yürütücüsünün izniyle hareket e</w:t>
            </w:r>
            <w:r w:rsidR="00D65F01">
              <w:rPr>
                <w:rFonts w:ascii="Arial Narrow" w:hAnsi="Arial Narrow"/>
                <w:noProof/>
                <w:sz w:val="20"/>
                <w:szCs w:val="20"/>
              </w:rPr>
              <w:t>t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melidirler.</w:t>
            </w:r>
          </w:p>
          <w:p w14:paraId="05960D33" w14:textId="704A79B5" w:rsidR="00F02867" w:rsidRDefault="00BC43A2" w:rsidP="00D85F42">
            <w:pPr>
              <w:pStyle w:val="TableParagraph"/>
              <w:numPr>
                <w:ilvl w:val="0"/>
                <w:numId w:val="13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Derslerde cep telefonu kullanımı, ders dışı konular</w:t>
            </w:r>
            <w:r w:rsidR="00172FD1">
              <w:rPr>
                <w:rFonts w:ascii="Arial Narrow" w:hAnsi="Arial Narrow"/>
                <w:noProof/>
                <w:sz w:val="20"/>
                <w:szCs w:val="20"/>
              </w:rPr>
              <w:t>da sohbet edilmesi, dersin işley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işinde aksaklıklara neden olabileceği gib</w:t>
            </w:r>
            <w:r w:rsidR="00172FD1">
              <w:rPr>
                <w:rFonts w:ascii="Arial Narrow" w:hAnsi="Arial Narrow"/>
                <w:noProof/>
                <w:sz w:val="20"/>
                <w:szCs w:val="20"/>
              </w:rPr>
              <w:t>i dersleri dinleyen öğrencilerde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öğrenme kayıplarına da yol açacaktır. </w:t>
            </w:r>
          </w:p>
          <w:p w14:paraId="7F3923BE" w14:textId="77777777" w:rsidR="00D85F42" w:rsidRDefault="00D85F42" w:rsidP="00D85F42">
            <w:pPr>
              <w:pStyle w:val="TableParagraph"/>
              <w:numPr>
                <w:ilvl w:val="0"/>
                <w:numId w:val="13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lastRenderedPageBreak/>
              <w:t>Öğrenciler ders takibi ve sınavlar ile ilgili özel gerekçelere sahipler ise bu durumu belgelemek kaydı ile ilgili yönetmeliğin kendilerine tanıdığı tüm haklardan yararlanabilirler.</w:t>
            </w:r>
          </w:p>
          <w:p w14:paraId="498A44D5" w14:textId="06FCD03E" w:rsidR="00D85F42" w:rsidRDefault="00D85F42" w:rsidP="00D85F42">
            <w:pPr>
              <w:pStyle w:val="TableParagraph"/>
              <w:numPr>
                <w:ilvl w:val="0"/>
                <w:numId w:val="13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İlgili yönetmelik gereği öğrenciler, derslerin toplam süresinin %70’ine devam </w:t>
            </w:r>
            <w:r w:rsidR="00172FD1">
              <w:rPr>
                <w:rFonts w:ascii="Arial Narrow" w:hAnsi="Arial Narrow"/>
                <w:noProof/>
                <w:sz w:val="20"/>
                <w:szCs w:val="20"/>
              </w:rPr>
              <w:t xml:space="preserve">etme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zorunluluğu vardır.</w:t>
            </w:r>
          </w:p>
          <w:p w14:paraId="3E5F8AD4" w14:textId="101C0DAC" w:rsidR="00D85F42" w:rsidRPr="005368A7" w:rsidRDefault="00D85F42" w:rsidP="00D85F42">
            <w:pPr>
              <w:pStyle w:val="TableParagraph"/>
              <w:numPr>
                <w:ilvl w:val="0"/>
                <w:numId w:val="13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Ders</w:t>
            </w:r>
            <w:r w:rsidR="00172FD1">
              <w:rPr>
                <w:rFonts w:ascii="Arial Narrow" w:hAnsi="Arial Narrow"/>
                <w:noProof/>
                <w:sz w:val="20"/>
                <w:szCs w:val="20"/>
              </w:rPr>
              <w:t>e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ait sınavlar, Dekanlık tarafından belirlenen ve öğrencilere farklı iletişim kanalları ile duyurusu yapılan sınav kurallarına göre gerçekleştirilir.</w:t>
            </w:r>
            <w:r w:rsidR="00172FD1">
              <w:rPr>
                <w:rFonts w:ascii="Arial Narrow" w:hAnsi="Arial Narrow"/>
                <w:noProof/>
                <w:sz w:val="20"/>
                <w:szCs w:val="20"/>
              </w:rPr>
              <w:t xml:space="preserve"> Bu sınav kurallarının ihlali durumunda suçun niteliği ve büyüklüğüne göre öğrencilere farklı disiplin cezası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="00172FD1">
              <w:rPr>
                <w:rFonts w:ascii="Arial Narrow" w:hAnsi="Arial Narrow"/>
                <w:noProof/>
                <w:sz w:val="20"/>
                <w:szCs w:val="20"/>
              </w:rPr>
              <w:t>verilebilmektedir.</w:t>
            </w:r>
          </w:p>
        </w:tc>
      </w:tr>
      <w:tr w:rsidR="00BD5671" w:rsidRPr="005368A7" w14:paraId="5C67998E" w14:textId="77777777" w:rsidTr="00BB55B2">
        <w:trPr>
          <w:trHeight w:val="233"/>
          <w:jc w:val="center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6549" w14:textId="50791876" w:rsidR="00BD5671" w:rsidRPr="005368A7" w:rsidRDefault="00BD5671" w:rsidP="00B174C8">
            <w:pPr>
              <w:ind w:left="113" w:right="113"/>
              <w:rPr>
                <w:rFonts w:ascii="Arial Narrow" w:hAnsi="Arial Narrow"/>
                <w:b/>
                <w:bCs/>
                <w:color w:val="212529"/>
                <w:sz w:val="20"/>
                <w:szCs w:val="20"/>
                <w:lang w:eastAsia="tr-TR"/>
              </w:rPr>
            </w:pPr>
            <w:r w:rsidRPr="001171BA">
              <w:rPr>
                <w:rFonts w:ascii="Arial Narrow" w:hAnsi="Arial Narrow"/>
                <w:b/>
                <w:sz w:val="20"/>
                <w:szCs w:val="20"/>
                <w:lang w:val="tr-TR"/>
              </w:rPr>
              <w:lastRenderedPageBreak/>
              <w:t>Haftalık</w:t>
            </w:r>
            <w:r w:rsidRPr="001171BA">
              <w:rPr>
                <w:rFonts w:ascii="Arial Narrow" w:hAnsi="Arial Narrow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1171BA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</w:t>
            </w:r>
            <w:r w:rsidRPr="001171BA">
              <w:rPr>
                <w:rFonts w:ascii="Arial Narrow" w:hAnsi="Arial Narrow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1171BA">
              <w:rPr>
                <w:rFonts w:ascii="Arial" w:hAnsi="Arial" w:cs="Arial"/>
                <w:b/>
                <w:sz w:val="20"/>
                <w:szCs w:val="20"/>
                <w:lang w:val="tr-TR"/>
              </w:rPr>
              <w:t>Konuları</w:t>
            </w:r>
            <w:r w:rsidR="00231BC6" w:rsidRPr="001171BA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</w:tr>
      <w:tr w:rsidR="00BD5671" w:rsidRPr="005368A7" w14:paraId="10F194CB" w14:textId="77777777" w:rsidTr="00BB55B2">
        <w:trPr>
          <w:trHeight w:val="23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5F0D" w14:textId="0094EFB1" w:rsidR="00BD5671" w:rsidRPr="005368A7" w:rsidRDefault="00AA482F" w:rsidP="00BD5671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368A7">
              <w:rPr>
                <w:rFonts w:ascii="Arial Narrow" w:hAnsi="Arial Narrow"/>
                <w:b/>
                <w:noProof/>
                <w:sz w:val="20"/>
                <w:szCs w:val="20"/>
              </w:rPr>
              <w:t>Hafta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91FE" w14:textId="3BED4A09" w:rsidR="00BD5671" w:rsidRPr="005368A7" w:rsidRDefault="00C1713A" w:rsidP="005368A7">
            <w:pPr>
              <w:pStyle w:val="TableParagraph"/>
              <w:ind w:left="113" w:right="113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368A7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  <w:r w:rsidR="00AA482F" w:rsidRPr="005368A7">
              <w:rPr>
                <w:rFonts w:ascii="Arial Narrow" w:hAnsi="Arial Narrow"/>
                <w:b/>
                <w:noProof/>
                <w:sz w:val="20"/>
                <w:szCs w:val="20"/>
              </w:rPr>
              <w:t>Konular</w:t>
            </w:r>
          </w:p>
        </w:tc>
      </w:tr>
      <w:tr w:rsidR="00AA482F" w:rsidRPr="005368A7" w14:paraId="674FFA11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DE78F" w14:textId="64050102" w:rsidR="00AA482F" w:rsidRPr="005368A7" w:rsidRDefault="00AA482F" w:rsidP="009D20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D4EAD" w14:textId="649AFB24" w:rsidR="00AA482F" w:rsidRPr="005368A7" w:rsidRDefault="00D65F01" w:rsidP="00231BC6">
            <w:pPr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Dış Ticaretle ilgili temel kavram ve teoriler</w:t>
            </w:r>
          </w:p>
        </w:tc>
      </w:tr>
      <w:tr w:rsidR="00AA482F" w:rsidRPr="005368A7" w14:paraId="6910DEAE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C17780" w14:textId="18DD310A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9B1A5" w14:textId="2FD6359B" w:rsidR="00AA482F" w:rsidRPr="005368A7" w:rsidRDefault="00D65F01" w:rsidP="005368A7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İhracat İşlemleri</w:t>
            </w:r>
          </w:p>
        </w:tc>
      </w:tr>
      <w:tr w:rsidR="00AA482F" w:rsidRPr="005368A7" w14:paraId="578D1CF7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9561ED" w14:textId="3AA56915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BADF3" w14:textId="47048A5F" w:rsidR="00AA482F" w:rsidRPr="005368A7" w:rsidRDefault="00D65F01" w:rsidP="005368A7">
            <w:pPr>
              <w:ind w:left="57" w:right="57"/>
              <w:jc w:val="both"/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  <w:t>İthalat işlemleri</w:t>
            </w:r>
          </w:p>
        </w:tc>
      </w:tr>
      <w:tr w:rsidR="00AA482F" w:rsidRPr="005368A7" w14:paraId="34F4BBA6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41B3BD" w14:textId="76BD2CC8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D19D4" w14:textId="1596EEBA" w:rsidR="00AA482F" w:rsidRPr="005368A7" w:rsidRDefault="00D65F01" w:rsidP="00C052EB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Dış Ticarette kullanılan Ticari Belgeler</w:t>
            </w:r>
          </w:p>
        </w:tc>
      </w:tr>
      <w:tr w:rsidR="00AA482F" w:rsidRPr="005368A7" w14:paraId="56BE7773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1E73C" w14:textId="263B5B94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F9CC8" w14:textId="653149D3" w:rsidR="00AA482F" w:rsidRPr="005368A7" w:rsidRDefault="00D65F01" w:rsidP="00C052EB">
            <w:pPr>
              <w:ind w:left="57" w:right="57"/>
              <w:jc w:val="both"/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  <w:t>Dış Ticarette Kullanılan Resmi Belgeler</w:t>
            </w:r>
          </w:p>
        </w:tc>
      </w:tr>
      <w:tr w:rsidR="00AA482F" w:rsidRPr="005368A7" w14:paraId="72AFBFDD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A792C" w14:textId="3A137230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96BF7" w14:textId="70DEC510" w:rsidR="00AA482F" w:rsidRPr="005368A7" w:rsidRDefault="00D65F01" w:rsidP="00E57466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Dış Ticarette Kullanılan Taşıma Belgeleri</w:t>
            </w:r>
          </w:p>
        </w:tc>
      </w:tr>
      <w:tr w:rsidR="00AA482F" w:rsidRPr="005368A7" w14:paraId="1F0F98D9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BD7CE" w14:textId="0994AB69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607905" w14:textId="5E31734C" w:rsidR="00AA482F" w:rsidRPr="005368A7" w:rsidRDefault="00D65F01" w:rsidP="005368A7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Dış Ticarette Kullanılan Finansman, Sigorta ve Döviz Belgeleri</w:t>
            </w:r>
          </w:p>
        </w:tc>
      </w:tr>
      <w:tr w:rsidR="00AA482F" w:rsidRPr="005368A7" w14:paraId="021DD7EA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9D617" w14:textId="5EEF1C38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7831E" w14:textId="744EAF1A" w:rsidR="00AA482F" w:rsidRPr="005368A7" w:rsidRDefault="00D65F01" w:rsidP="005368A7">
            <w:pPr>
              <w:ind w:left="57" w:right="57"/>
              <w:jc w:val="both"/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  <w:t>Dış Ticarette Teslim Şekilleri</w:t>
            </w:r>
          </w:p>
        </w:tc>
      </w:tr>
      <w:tr w:rsidR="00AA482F" w:rsidRPr="005368A7" w14:paraId="2CDFC80B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902B8" w14:textId="45CD9961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0E075" w14:textId="00A53DD9" w:rsidR="00AA482F" w:rsidRPr="005368A7" w:rsidRDefault="00B174C8" w:rsidP="005368A7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Ara Sınav</w:t>
            </w:r>
          </w:p>
        </w:tc>
      </w:tr>
      <w:tr w:rsidR="00AA482F" w:rsidRPr="005368A7" w14:paraId="3C0103F5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FD3FAF" w14:textId="077B4057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A08D1" w14:textId="60596864" w:rsidR="00AA482F" w:rsidRPr="005368A7" w:rsidRDefault="00D65F01" w:rsidP="005368A7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Dış Ticarette Ödeme Yöntemleri</w:t>
            </w:r>
          </w:p>
        </w:tc>
      </w:tr>
      <w:tr w:rsidR="00AA482F" w:rsidRPr="005368A7" w14:paraId="38889283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01966E" w14:textId="16648658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4C078" w14:textId="2A6A1900" w:rsidR="00AA482F" w:rsidRPr="005368A7" w:rsidRDefault="00D65F01" w:rsidP="005368A7">
            <w:pPr>
              <w:ind w:left="57" w:right="57"/>
              <w:jc w:val="both"/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  <w:t>Gümrükler ve Gümrük Tarifeleri</w:t>
            </w:r>
          </w:p>
        </w:tc>
      </w:tr>
      <w:tr w:rsidR="00AA482F" w:rsidRPr="005368A7" w14:paraId="3A6C7F49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73A6DD" w14:textId="1376D88B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D52802" w14:textId="24BA8C86" w:rsidR="00AA482F" w:rsidRPr="005368A7" w:rsidRDefault="00D65F01" w:rsidP="00E57466">
            <w:pPr>
              <w:pStyle w:val="TableParagraph"/>
              <w:ind w:left="57" w:right="57"/>
              <w:jc w:val="both"/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  <w:t>Eşyanın Menşei ve Gümrük kıymeti</w:t>
            </w:r>
          </w:p>
        </w:tc>
      </w:tr>
      <w:tr w:rsidR="00AA482F" w:rsidRPr="005368A7" w14:paraId="2437F736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73CA2" w14:textId="58AC1767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</w:t>
            </w:r>
            <w:r w:rsidR="009D203D" w:rsidRPr="005368A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E0FFB" w14:textId="15E7493B" w:rsidR="00AA482F" w:rsidRPr="005368A7" w:rsidRDefault="00D65F01" w:rsidP="00F515DB">
            <w:pPr>
              <w:pStyle w:val="TableParagraph"/>
              <w:ind w:left="57" w:right="57"/>
              <w:jc w:val="both"/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  <w:t>Eşyanın Gümrüpe Sunulması</w:t>
            </w:r>
          </w:p>
        </w:tc>
      </w:tr>
      <w:tr w:rsidR="009D203D" w:rsidRPr="005368A7" w14:paraId="194C5D04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E1CD9" w14:textId="67445059" w:rsidR="009D203D" w:rsidRPr="005368A7" w:rsidRDefault="009D203D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5A234" w14:textId="5C78C9DE" w:rsidR="009D203D" w:rsidRPr="005368A7" w:rsidRDefault="00D65F01" w:rsidP="005368A7">
            <w:pPr>
              <w:pStyle w:val="TableParagraph"/>
              <w:ind w:left="57" w:right="57"/>
              <w:jc w:val="both"/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  <w:t>Gümrük Beyanı</w:t>
            </w:r>
          </w:p>
        </w:tc>
      </w:tr>
      <w:tr w:rsidR="009D203D" w:rsidRPr="005368A7" w14:paraId="5097003A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9D203" w14:textId="0CA2D00E" w:rsidR="009D203D" w:rsidRPr="005368A7" w:rsidRDefault="009D203D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A6E52" w14:textId="5FB5605F" w:rsidR="009D203D" w:rsidRPr="005368A7" w:rsidRDefault="00D65F01" w:rsidP="00231BC6">
            <w:pPr>
              <w:pStyle w:val="TableParagraph"/>
              <w:ind w:left="0" w:right="57"/>
              <w:jc w:val="both"/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  <w:t>Dış Ticaretle İlgili Kurumlar</w:t>
            </w:r>
          </w:p>
        </w:tc>
      </w:tr>
      <w:tr w:rsidR="00AA482F" w:rsidRPr="005368A7" w14:paraId="66CF007F" w14:textId="77777777" w:rsidTr="005368A7">
        <w:trPr>
          <w:trHeight w:val="885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6523" w14:textId="77777777" w:rsidR="00AA482F" w:rsidRPr="005368A7" w:rsidRDefault="00AA482F" w:rsidP="009166B8">
            <w:pPr>
              <w:pStyle w:val="TableParagraph"/>
              <w:ind w:left="136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Kaynaklar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E4F79" w14:textId="5A64BA64" w:rsidR="0074381C" w:rsidRPr="0074381C" w:rsidRDefault="0074381C" w:rsidP="0074381C">
            <w:pPr>
              <w:ind w:right="57"/>
              <w:jc w:val="both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74381C">
              <w:rPr>
                <w:rFonts w:ascii="Arial Narrow" w:hAnsi="Arial Narrow"/>
                <w:b/>
                <w:noProof/>
                <w:sz w:val="20"/>
                <w:szCs w:val="20"/>
              </w:rPr>
              <w:t>Ana Kaynak:</w:t>
            </w:r>
          </w:p>
          <w:p w14:paraId="2B7CD2D2" w14:textId="12379201" w:rsidR="00D65F01" w:rsidRPr="00E54BF8" w:rsidRDefault="00E54BF8" w:rsidP="00265D14">
            <w:pPr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E54BF8">
              <w:rPr>
                <w:rFonts w:ascii="Arial Narrow" w:hAnsi="Arial Narrow"/>
                <w:noProof/>
                <w:sz w:val="20"/>
                <w:szCs w:val="20"/>
              </w:rPr>
              <w:t>Yaser GÜRSOY, 2022, Dış Ticaret İşlemleri Yönetimi, Ekin Yayınevi, Bursa</w:t>
            </w:r>
          </w:p>
          <w:p w14:paraId="3181951F" w14:textId="4C3F17B2" w:rsidR="0074381C" w:rsidRPr="00E17044" w:rsidRDefault="0074381C" w:rsidP="00265D14">
            <w:pPr>
              <w:ind w:left="57" w:right="57"/>
              <w:jc w:val="both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E17044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Diğer Kaynaklar: </w:t>
            </w:r>
          </w:p>
          <w:p w14:paraId="11E7059D" w14:textId="224CC78E" w:rsidR="00265D14" w:rsidRPr="00172FD1" w:rsidRDefault="00E54BF8" w:rsidP="00265D14">
            <w:pPr>
              <w:pStyle w:val="ListeParagraf"/>
              <w:numPr>
                <w:ilvl w:val="0"/>
                <w:numId w:val="14"/>
              </w:numPr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Kenan ÇELİK, Cemalleddin KALAYCI ve Ali Rıza SANDALCILAR, 2011, Dış Ticaret İşlemleri Yönetimi, Murathan Yayınevi,</w:t>
            </w:r>
            <w:bookmarkStart w:id="0" w:name="_GoBack"/>
            <w:bookmarkEnd w:id="0"/>
          </w:p>
        </w:tc>
      </w:tr>
    </w:tbl>
    <w:p w14:paraId="168A9DC4" w14:textId="77777777" w:rsidR="001032C8" w:rsidRPr="005368A7" w:rsidRDefault="001032C8" w:rsidP="00620AA4">
      <w:pPr>
        <w:rPr>
          <w:rFonts w:ascii="Arial Narrow" w:hAnsi="Arial Narrow"/>
          <w:sz w:val="20"/>
          <w:szCs w:val="20"/>
        </w:rPr>
      </w:pPr>
    </w:p>
    <w:sectPr w:rsidR="001032C8" w:rsidRPr="005368A7" w:rsidSect="00F02867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165"/>
    <w:multiLevelType w:val="hybridMultilevel"/>
    <w:tmpl w:val="3B00D0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3817"/>
    <w:multiLevelType w:val="hybridMultilevel"/>
    <w:tmpl w:val="29BC72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595A"/>
    <w:multiLevelType w:val="hybridMultilevel"/>
    <w:tmpl w:val="16A63A38"/>
    <w:lvl w:ilvl="0" w:tplc="041F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15CE25DE"/>
    <w:multiLevelType w:val="hybridMultilevel"/>
    <w:tmpl w:val="DCF2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6496"/>
    <w:multiLevelType w:val="hybridMultilevel"/>
    <w:tmpl w:val="483CBA9A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EC96C48"/>
    <w:multiLevelType w:val="hybridMultilevel"/>
    <w:tmpl w:val="E7D8C728"/>
    <w:lvl w:ilvl="0" w:tplc="C242F38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41C3583"/>
    <w:multiLevelType w:val="hybridMultilevel"/>
    <w:tmpl w:val="B0007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6292D"/>
    <w:multiLevelType w:val="hybridMultilevel"/>
    <w:tmpl w:val="A440B064"/>
    <w:lvl w:ilvl="0" w:tplc="041F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5A832187"/>
    <w:multiLevelType w:val="hybridMultilevel"/>
    <w:tmpl w:val="0058AC8C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65F82F76"/>
    <w:multiLevelType w:val="hybridMultilevel"/>
    <w:tmpl w:val="D9B8E6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D6F20"/>
    <w:multiLevelType w:val="hybridMultilevel"/>
    <w:tmpl w:val="7CFC32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603DC"/>
    <w:multiLevelType w:val="hybridMultilevel"/>
    <w:tmpl w:val="5E2C4C94"/>
    <w:lvl w:ilvl="0" w:tplc="041F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 w15:restartNumberingAfterBreak="0">
    <w:nsid w:val="77000FE0"/>
    <w:multiLevelType w:val="hybridMultilevel"/>
    <w:tmpl w:val="4F5E3F2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E567D78"/>
    <w:multiLevelType w:val="hybridMultilevel"/>
    <w:tmpl w:val="928A4702"/>
    <w:lvl w:ilvl="0" w:tplc="041F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12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666CD"/>
    <w:rsid w:val="000F03E2"/>
    <w:rsid w:val="001020A2"/>
    <w:rsid w:val="001032C8"/>
    <w:rsid w:val="001139B3"/>
    <w:rsid w:val="001171BA"/>
    <w:rsid w:val="00172FD1"/>
    <w:rsid w:val="00177651"/>
    <w:rsid w:val="00231BC6"/>
    <w:rsid w:val="002335EB"/>
    <w:rsid w:val="00240A54"/>
    <w:rsid w:val="00260A1D"/>
    <w:rsid w:val="00265D14"/>
    <w:rsid w:val="0028089F"/>
    <w:rsid w:val="002E04BD"/>
    <w:rsid w:val="00336CE6"/>
    <w:rsid w:val="00341E79"/>
    <w:rsid w:val="003E3DBE"/>
    <w:rsid w:val="00433179"/>
    <w:rsid w:val="0044141F"/>
    <w:rsid w:val="00487949"/>
    <w:rsid w:val="004D289B"/>
    <w:rsid w:val="004F0440"/>
    <w:rsid w:val="005368A7"/>
    <w:rsid w:val="005538BA"/>
    <w:rsid w:val="005F3CA5"/>
    <w:rsid w:val="00620AA4"/>
    <w:rsid w:val="0063697C"/>
    <w:rsid w:val="006D5EB0"/>
    <w:rsid w:val="0074381C"/>
    <w:rsid w:val="007A2A93"/>
    <w:rsid w:val="007D0E8F"/>
    <w:rsid w:val="007D22DE"/>
    <w:rsid w:val="007D2DE9"/>
    <w:rsid w:val="007D5881"/>
    <w:rsid w:val="00800A04"/>
    <w:rsid w:val="00876E78"/>
    <w:rsid w:val="0088364F"/>
    <w:rsid w:val="009166B8"/>
    <w:rsid w:val="00971D6D"/>
    <w:rsid w:val="00977FC2"/>
    <w:rsid w:val="00997D81"/>
    <w:rsid w:val="009D203D"/>
    <w:rsid w:val="00AA482F"/>
    <w:rsid w:val="00AD57B9"/>
    <w:rsid w:val="00B174C8"/>
    <w:rsid w:val="00B443EF"/>
    <w:rsid w:val="00B51C0F"/>
    <w:rsid w:val="00BB55B2"/>
    <w:rsid w:val="00BC43A2"/>
    <w:rsid w:val="00BD5671"/>
    <w:rsid w:val="00C052EB"/>
    <w:rsid w:val="00C1713A"/>
    <w:rsid w:val="00C65F84"/>
    <w:rsid w:val="00C71640"/>
    <w:rsid w:val="00CC07CD"/>
    <w:rsid w:val="00CD0EBD"/>
    <w:rsid w:val="00CF4569"/>
    <w:rsid w:val="00D65F01"/>
    <w:rsid w:val="00D85F42"/>
    <w:rsid w:val="00DD745A"/>
    <w:rsid w:val="00DF397C"/>
    <w:rsid w:val="00E17044"/>
    <w:rsid w:val="00E205A2"/>
    <w:rsid w:val="00E25C0E"/>
    <w:rsid w:val="00E43B3C"/>
    <w:rsid w:val="00E54BF8"/>
    <w:rsid w:val="00E57466"/>
    <w:rsid w:val="00E9750B"/>
    <w:rsid w:val="00ED01FC"/>
    <w:rsid w:val="00F02867"/>
    <w:rsid w:val="00F22517"/>
    <w:rsid w:val="00F515DB"/>
    <w:rsid w:val="00F6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1622"/>
  <w15:docId w15:val="{1D3FF522-C216-4818-97F3-791D2631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335E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335EB"/>
    <w:pPr>
      <w:ind w:left="112"/>
    </w:pPr>
  </w:style>
  <w:style w:type="table" w:customStyle="1" w:styleId="TableNormal">
    <w:name w:val="Table Normal"/>
    <w:uiPriority w:val="2"/>
    <w:semiHidden/>
    <w:qFormat/>
    <w:rsid w:val="002335E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wtze">
    <w:name w:val="hwtze"/>
    <w:rsid w:val="001020A2"/>
  </w:style>
  <w:style w:type="character" w:customStyle="1" w:styleId="rynqvb">
    <w:name w:val="rynqvb"/>
    <w:rsid w:val="001020A2"/>
  </w:style>
  <w:style w:type="paragraph" w:styleId="ListeParagraf">
    <w:name w:val="List Paragraph"/>
    <w:basedOn w:val="Normal"/>
    <w:uiPriority w:val="34"/>
    <w:qFormat/>
    <w:rsid w:val="001020A2"/>
    <w:pPr>
      <w:widowControl/>
      <w:autoSpaceDE/>
      <w:autoSpaceDN/>
      <w:ind w:left="720"/>
      <w:contextualSpacing/>
    </w:pPr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25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517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D1162-4830-4732-B032-3D4CB6C5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uzar</dc:creator>
  <cp:lastModifiedBy>Mustafa Kemal</cp:lastModifiedBy>
  <cp:revision>4</cp:revision>
  <cp:lastPrinted>2023-05-22T14:44:00Z</cp:lastPrinted>
  <dcterms:created xsi:type="dcterms:W3CDTF">2023-10-25T18:18:00Z</dcterms:created>
  <dcterms:modified xsi:type="dcterms:W3CDTF">2023-10-25T18:40:00Z</dcterms:modified>
</cp:coreProperties>
</file>